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D0416">
        <w:rPr>
          <w:rFonts w:ascii="Times New Roman" w:hAnsi="Times New Roman" w:cs="Times New Roman"/>
          <w:b/>
          <w:sz w:val="24"/>
          <w:u w:val="single"/>
        </w:rPr>
        <w:t xml:space="preserve"> 7748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155F1" w:rsidRPr="00FE6D2B" w:rsidRDefault="004B4D25" w:rsidP="00414127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FE6D2B" w:rsidRPr="00FE6D2B">
        <w:rPr>
          <w:rFonts w:ascii="Times New Roman" w:hAnsi="Times New Roman" w:cs="Times New Roman"/>
          <w:b/>
          <w:sz w:val="24"/>
          <w:lang w:val="es-ES"/>
        </w:rPr>
        <w:t xml:space="preserve">DESAFÉCTASE </w:t>
      </w:r>
      <w:r w:rsidR="00FE6D2B" w:rsidRPr="00FE6D2B">
        <w:rPr>
          <w:rFonts w:ascii="Times New Roman" w:hAnsi="Times New Roman" w:cs="Times New Roman"/>
          <w:sz w:val="24"/>
          <w:lang w:val="es-ES"/>
        </w:rPr>
        <w:t xml:space="preserve">del Dominio Público para afectarlo al Dominio Privado Municipal, </w:t>
      </w:r>
      <w:r w:rsidR="00FE6D2B" w:rsidRPr="00FE6D2B">
        <w:rPr>
          <w:rFonts w:ascii="Times New Roman" w:hAnsi="Times New Roman" w:cs="Times New Roman"/>
          <w:sz w:val="24"/>
          <w:lang w:val="es-ES_tradnl"/>
        </w:rPr>
        <w:t xml:space="preserve">el inmueble descripto como: </w:t>
      </w:r>
      <w:r w:rsidR="00FE6D2B" w:rsidRPr="00FE6D2B">
        <w:rPr>
          <w:rFonts w:ascii="Times New Roman" w:hAnsi="Times New Roman" w:cs="Times New Roman"/>
          <w:sz w:val="24"/>
          <w:lang w:val="es-ES"/>
        </w:rPr>
        <w:t>Inmueble situado en Departamento San Justo, Pedanía Juárez Celman, Municipalidad de San Francisco, ubicado sobre calle J. Gontero, inmueble designado por catastro Municipal como C: 02 – S: 04 – M: 013 – P: E.V., que se describe como: parcela de 4 lados, que partiendo del vértice suroeste A con ángulo de 90º y rumbo noreste hasta el vértice B (lado A-B) mide 25.70m colindando con E.V; desde este vértice con ángulo de 90º hasta el vértice C (lado B-C)mide 25.06m colindando con AV 9 de Septiembre; desde este vértice con ángulo de 90º hasta el vértice D (lado C-D) mide 25.74m colindando con E.V.; desde este vértice y cerrando la figura con ángulo de 90º hasta el vértice inicial A (lado D-A) mide 25.06m colindando con calle J. A. Gontero; con una superficie de 644.55m2</w:t>
      </w:r>
      <w:r w:rsidR="00FE6D2B" w:rsidRPr="00FE6D2B">
        <w:rPr>
          <w:rFonts w:ascii="Times New Roman" w:hAnsi="Times New Roman" w:cs="Times New Roman"/>
          <w:sz w:val="24"/>
          <w:lang w:val="es-ES_tradnl"/>
        </w:rPr>
        <w:t>; conforme croquis adjunto que como Anexo I forma  parte integrante  de la presente.</w:t>
      </w:r>
    </w:p>
    <w:p w:rsidR="00410F7F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4B4D25">
        <w:rPr>
          <w:rFonts w:ascii="Times New Roman" w:hAnsi="Times New Roman" w:cs="Times New Roman"/>
          <w:b/>
          <w:bCs/>
          <w:sz w:val="24"/>
          <w:lang w:val="es-ES"/>
        </w:rPr>
        <w:t>2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FD0416">
        <w:rPr>
          <w:rFonts w:ascii="Times New Roman" w:hAnsi="Times New Roman" w:cs="Times New Roman"/>
          <w:b/>
          <w:sz w:val="24"/>
          <w:lang w:val="es-ES"/>
        </w:rPr>
        <w:t>AUTORÍ</w:t>
      </w:r>
      <w:r w:rsidR="00FE6D2B" w:rsidRPr="00FE6D2B">
        <w:rPr>
          <w:rFonts w:ascii="Times New Roman" w:hAnsi="Times New Roman" w:cs="Times New Roman"/>
          <w:b/>
          <w:sz w:val="24"/>
          <w:lang w:val="es-ES"/>
        </w:rPr>
        <w:t>ZASE</w:t>
      </w:r>
      <w:r w:rsidR="00FE6D2B" w:rsidRPr="00FE6D2B">
        <w:rPr>
          <w:rFonts w:ascii="Times New Roman" w:hAnsi="Times New Roman" w:cs="Times New Roman"/>
          <w:sz w:val="24"/>
          <w:lang w:val="es-ES"/>
        </w:rPr>
        <w:t xml:space="preserve"> </w:t>
      </w:r>
      <w:r w:rsidR="00FE6D2B" w:rsidRPr="00FE6D2B">
        <w:rPr>
          <w:rFonts w:ascii="Times New Roman" w:hAnsi="Times New Roman" w:cs="Times New Roman"/>
          <w:sz w:val="24"/>
          <w:lang w:val="es-ES_tradnl"/>
        </w:rPr>
        <w:t>el uso del inmueble del dominio privado municipal descripto en el Art.1º), al PARQUE INDUSTRIAL PILOTO SAN FRANCISCO S.A.</w:t>
      </w:r>
    </w:p>
    <w:p w:rsidR="00410F7F" w:rsidRDefault="00410F7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</w:p>
    <w:p w:rsidR="00FE6D2B" w:rsidRPr="00FE6D2B" w:rsidRDefault="00410F7F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>
        <w:rPr>
          <w:rFonts w:ascii="Times New Roman" w:hAnsi="Times New Roman" w:cs="Times New Roman"/>
          <w:b/>
          <w:sz w:val="24"/>
        </w:rPr>
        <w:t xml:space="preserve">3).- </w:t>
      </w:r>
      <w:r w:rsidR="00FE6D2B" w:rsidRPr="00FE6D2B">
        <w:rPr>
          <w:rFonts w:ascii="Times New Roman" w:hAnsi="Times New Roman" w:cs="Times New Roman"/>
          <w:sz w:val="24"/>
          <w:lang w:val="es-ES_tradnl"/>
        </w:rPr>
        <w:t>La presente  autorización  sólo tiene  como objeto  la radicación de una  Entidad Bancaria  por ser este un servicio de carácter  indispensable  para los  empresarios  y trabajadores  que forman parte del polo productivo.</w:t>
      </w:r>
    </w:p>
    <w:p w:rsidR="00FE6D2B" w:rsidRPr="00FE6D2B" w:rsidRDefault="00FE6D2B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lang w:val="es-ES_tradnl"/>
        </w:rPr>
      </w:pPr>
    </w:p>
    <w:p w:rsidR="00FE6D2B" w:rsidRPr="00FE6D2B" w:rsidRDefault="00FE6D2B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lang w:val="es-ES_tradnl"/>
        </w:rPr>
      </w:pPr>
      <w:r>
        <w:rPr>
          <w:rFonts w:ascii="Times New Roman" w:hAnsi="Times New Roman" w:cs="Times New Roman"/>
          <w:b/>
          <w:sz w:val="24"/>
          <w:lang w:val="es-ES_tradnl"/>
        </w:rPr>
        <w:t>Art.</w:t>
      </w:r>
      <w:r w:rsidRPr="00FE6D2B">
        <w:rPr>
          <w:rFonts w:ascii="Times New Roman" w:hAnsi="Times New Roman" w:cs="Times New Roman"/>
          <w:b/>
          <w:sz w:val="24"/>
          <w:lang w:val="es-ES_tradnl"/>
        </w:rPr>
        <w:t>4).</w:t>
      </w:r>
      <w:r>
        <w:rPr>
          <w:rFonts w:ascii="Times New Roman" w:hAnsi="Times New Roman" w:cs="Times New Roman"/>
          <w:b/>
          <w:sz w:val="24"/>
          <w:lang w:val="es-ES_tradnl"/>
        </w:rPr>
        <w:t>-</w:t>
      </w:r>
      <w:r w:rsidRPr="00FE6D2B">
        <w:rPr>
          <w:rFonts w:ascii="Times New Roman" w:hAnsi="Times New Roman" w:cs="Times New Roman"/>
          <w:b/>
          <w:sz w:val="24"/>
          <w:lang w:val="es-ES_tradnl"/>
        </w:rPr>
        <w:t xml:space="preserve"> </w:t>
      </w:r>
      <w:r w:rsidRPr="00FE6D2B">
        <w:rPr>
          <w:rFonts w:ascii="Times New Roman" w:hAnsi="Times New Roman" w:cs="Times New Roman"/>
          <w:sz w:val="24"/>
          <w:lang w:val="es-ES_tradnl"/>
        </w:rPr>
        <w:t>La presente autorización  tiene carácter  transitorio, la misma no podrá  superar  el plazo de cinco  (05) años, salvo que el Departamento Ejecutivo Municipal autorice  lo prórroga por un plazo  igual y con la  misma  finalidad a la establecida en el artículo 3º).</w:t>
      </w:r>
      <w:r w:rsidRPr="00FE6D2B">
        <w:rPr>
          <w:rFonts w:ascii="Times New Roman" w:hAnsi="Times New Roman" w:cs="Times New Roman"/>
          <w:b/>
          <w:sz w:val="24"/>
          <w:lang w:val="es-ES_tradnl"/>
        </w:rPr>
        <w:t xml:space="preserve"> </w:t>
      </w:r>
    </w:p>
    <w:p w:rsidR="00FE6D2B" w:rsidRPr="00FE6D2B" w:rsidRDefault="00FE6D2B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lang w:val="es-ES_tradnl"/>
        </w:rPr>
      </w:pPr>
    </w:p>
    <w:p w:rsidR="00FE6D2B" w:rsidRPr="00FE6D2B" w:rsidRDefault="00FE6D2B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Pr="00FE6D2B">
        <w:rPr>
          <w:rFonts w:ascii="Times New Roman" w:hAnsi="Times New Roman" w:cs="Times New Roman"/>
          <w:b/>
          <w:sz w:val="24"/>
          <w:lang w:val="es-ES"/>
        </w:rPr>
        <w:t>5).</w:t>
      </w:r>
      <w:r>
        <w:rPr>
          <w:rFonts w:ascii="Times New Roman" w:hAnsi="Times New Roman" w:cs="Times New Roman"/>
          <w:b/>
          <w:sz w:val="24"/>
          <w:lang w:val="es-ES"/>
        </w:rPr>
        <w:t>-</w:t>
      </w:r>
      <w:r w:rsidR="00FD0416">
        <w:rPr>
          <w:rFonts w:ascii="Times New Roman" w:hAnsi="Times New Roman" w:cs="Times New Roman"/>
          <w:b/>
          <w:sz w:val="24"/>
          <w:lang w:val="es-ES"/>
        </w:rPr>
        <w:tab/>
        <w:t>AUTORÍ</w:t>
      </w:r>
      <w:r w:rsidRPr="00FE6D2B">
        <w:rPr>
          <w:rFonts w:ascii="Times New Roman" w:hAnsi="Times New Roman" w:cs="Times New Roman"/>
          <w:b/>
          <w:sz w:val="24"/>
          <w:lang w:val="es-ES"/>
        </w:rPr>
        <w:t xml:space="preserve">CESE </w:t>
      </w:r>
      <w:r w:rsidRPr="00FE6D2B">
        <w:rPr>
          <w:rFonts w:ascii="Times New Roman" w:hAnsi="Times New Roman" w:cs="Times New Roman"/>
          <w:sz w:val="24"/>
          <w:lang w:val="es-ES"/>
        </w:rPr>
        <w:t>al Departamento Ejecutivo Municipal a confeccionar y registrar ante los organismos provinciales competentes el correspondiente plano de mensura para desafectación y a suscribir toda la documentación y/o convenios y/o planos que requiera el cumplimiento de lo dispuesto en la presente Ordenanza, y/o a dictar los actos administrativos y/o normas que resulten necesarios a tal efecto.</w:t>
      </w:r>
    </w:p>
    <w:p w:rsidR="00FE6D2B" w:rsidRPr="00FE6D2B" w:rsidRDefault="00FE6D2B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lang w:val="es-ES"/>
        </w:rPr>
      </w:pPr>
    </w:p>
    <w:p w:rsidR="00FE6D2B" w:rsidRPr="00FE6D2B" w:rsidRDefault="00FE6D2B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FE6D2B">
        <w:rPr>
          <w:rFonts w:ascii="Times New Roman" w:hAnsi="Times New Roman" w:cs="Times New Roman"/>
          <w:b/>
          <w:sz w:val="24"/>
          <w:lang w:val="es-ES"/>
        </w:rPr>
        <w:t>Art.6).</w:t>
      </w:r>
      <w:r>
        <w:rPr>
          <w:rFonts w:ascii="Times New Roman" w:hAnsi="Times New Roman" w:cs="Times New Roman"/>
          <w:b/>
          <w:sz w:val="24"/>
          <w:lang w:val="es-ES"/>
        </w:rPr>
        <w:t>-</w:t>
      </w:r>
      <w:r w:rsidRPr="00FE6D2B">
        <w:rPr>
          <w:rFonts w:ascii="Times New Roman" w:hAnsi="Times New Roman" w:cs="Times New Roman"/>
          <w:b/>
          <w:sz w:val="24"/>
          <w:lang w:val="es-ES"/>
        </w:rPr>
        <w:tab/>
      </w:r>
      <w:r w:rsidRPr="00FE6D2B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FE6D2B" w:rsidRPr="00FE6D2B" w:rsidRDefault="00FE6D2B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lang w:val="es-ES"/>
        </w:rPr>
      </w:pPr>
    </w:p>
    <w:p w:rsidR="00FE6D2B" w:rsidRPr="00FE6D2B" w:rsidRDefault="00FE6D2B" w:rsidP="00FE6D2B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lang w:val="es-ES_tradnl"/>
        </w:rPr>
      </w:pPr>
      <w:r>
        <w:rPr>
          <w:rFonts w:ascii="Times New Roman" w:hAnsi="Times New Roman" w:cs="Times New Roman"/>
          <w:b/>
          <w:sz w:val="24"/>
          <w:lang w:val="es-ES_tradnl"/>
        </w:rPr>
        <w:t>Art.</w:t>
      </w:r>
      <w:r w:rsidRPr="00FE6D2B">
        <w:rPr>
          <w:rFonts w:ascii="Times New Roman" w:hAnsi="Times New Roman" w:cs="Times New Roman"/>
          <w:b/>
          <w:sz w:val="24"/>
          <w:lang w:val="es-ES_tradnl"/>
        </w:rPr>
        <w:t>7).</w:t>
      </w:r>
      <w:r>
        <w:rPr>
          <w:rFonts w:ascii="Times New Roman" w:hAnsi="Times New Roman" w:cs="Times New Roman"/>
          <w:b/>
          <w:sz w:val="24"/>
          <w:lang w:val="es-ES_tradnl"/>
        </w:rPr>
        <w:t>-</w:t>
      </w:r>
      <w:r w:rsidRPr="00FE6D2B">
        <w:rPr>
          <w:rFonts w:ascii="Times New Roman" w:hAnsi="Times New Roman" w:cs="Times New Roman"/>
          <w:sz w:val="24"/>
          <w:lang w:val="es-ES_tradnl"/>
        </w:rPr>
        <w:t xml:space="preserve"> </w:t>
      </w:r>
      <w:r>
        <w:rPr>
          <w:rFonts w:ascii="Times New Roman" w:hAnsi="Times New Roman" w:cs="Times New Roman"/>
          <w:b/>
          <w:sz w:val="24"/>
          <w:lang w:val="es-ES_tradnl"/>
        </w:rPr>
        <w:t>DERÓ</w:t>
      </w:r>
      <w:r w:rsidRPr="00FE6D2B">
        <w:rPr>
          <w:rFonts w:ascii="Times New Roman" w:hAnsi="Times New Roman" w:cs="Times New Roman"/>
          <w:b/>
          <w:sz w:val="24"/>
          <w:lang w:val="es-ES_tradnl"/>
        </w:rPr>
        <w:t>GASE</w:t>
      </w:r>
      <w:r w:rsidRPr="00FE6D2B">
        <w:rPr>
          <w:rFonts w:ascii="Times New Roman" w:hAnsi="Times New Roman" w:cs="Times New Roman"/>
          <w:sz w:val="24"/>
          <w:lang w:val="es-ES_tradnl"/>
        </w:rPr>
        <w:t xml:space="preserve"> toda otra disposición legal que se oponga a la presente. </w:t>
      </w:r>
    </w:p>
    <w:p w:rsidR="00FE6D2B" w:rsidRDefault="00FE6D2B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</w:p>
    <w:p w:rsidR="00B31D29" w:rsidRPr="009817A0" w:rsidRDefault="00FE6D2B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Art.8).-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905F2B">
        <w:rPr>
          <w:rFonts w:ascii="Times New Roman" w:hAnsi="Times New Roman" w:cs="Times New Roman"/>
          <w:sz w:val="24"/>
        </w:rPr>
        <w:t>seis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FB49A6" w:rsidRDefault="00FB49A6" w:rsidP="00FA4B86">
      <w:pPr>
        <w:rPr>
          <w:rFonts w:ascii="Times New Roman" w:hAnsi="Times New Roman" w:cs="Times New Roman"/>
          <w:sz w:val="24"/>
        </w:rPr>
      </w:pPr>
    </w:p>
    <w:p w:rsidR="005A7411" w:rsidRDefault="005A74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A7411" w:rsidRPr="00B85F78" w:rsidRDefault="005A7411" w:rsidP="00FA4B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411" w:rsidRPr="00B85F78" w:rsidSect="00FD0416">
      <w:footerReference w:type="default" r:id="rId8"/>
      <w:pgSz w:w="12240" w:h="20160" w:code="5"/>
      <w:pgMar w:top="3232" w:right="1304" w:bottom="1644" w:left="2098" w:header="709" w:footer="17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FF" w:rsidRDefault="00FB6DFF" w:rsidP="003426F2">
      <w:pPr>
        <w:spacing w:after="0" w:line="240" w:lineRule="auto"/>
      </w:pPr>
      <w:r>
        <w:separator/>
      </w:r>
    </w:p>
  </w:endnote>
  <w:endnote w:type="continuationSeparator" w:id="0">
    <w:p w:rsidR="00FB6DFF" w:rsidRDefault="00FB6DFF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1376378"/>
      <w:docPartObj>
        <w:docPartGallery w:val="Page Numbers (Bottom of Page)"/>
        <w:docPartUnique/>
      </w:docPartObj>
    </w:sdtPr>
    <w:sdtEndPr/>
    <w:sdtContent>
      <w:p w:rsidR="00FD0416" w:rsidRDefault="00FD04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411" w:rsidRPr="005A7411">
          <w:rPr>
            <w:noProof/>
            <w:lang w:val="es-ES"/>
          </w:rPr>
          <w:t>2</w:t>
        </w:r>
        <w:r>
          <w:fldChar w:fldCharType="end"/>
        </w:r>
      </w:p>
    </w:sdtContent>
  </w:sdt>
  <w:p w:rsidR="00FD0416" w:rsidRDefault="00FD04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FF" w:rsidRDefault="00FB6DFF" w:rsidP="003426F2">
      <w:pPr>
        <w:spacing w:after="0" w:line="240" w:lineRule="auto"/>
      </w:pPr>
      <w:r>
        <w:separator/>
      </w:r>
    </w:p>
  </w:footnote>
  <w:footnote w:type="continuationSeparator" w:id="0">
    <w:p w:rsidR="00FB6DFF" w:rsidRDefault="00FB6DFF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1F136C"/>
    <w:rsid w:val="002A71AC"/>
    <w:rsid w:val="002D63E8"/>
    <w:rsid w:val="003426F2"/>
    <w:rsid w:val="003827CE"/>
    <w:rsid w:val="00384502"/>
    <w:rsid w:val="00390D36"/>
    <w:rsid w:val="00393F6C"/>
    <w:rsid w:val="003A4D7A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2231D"/>
    <w:rsid w:val="00530A53"/>
    <w:rsid w:val="005466E4"/>
    <w:rsid w:val="0055197B"/>
    <w:rsid w:val="0056453B"/>
    <w:rsid w:val="00596836"/>
    <w:rsid w:val="005A7411"/>
    <w:rsid w:val="005F4174"/>
    <w:rsid w:val="00630356"/>
    <w:rsid w:val="00633846"/>
    <w:rsid w:val="00647837"/>
    <w:rsid w:val="006B0B34"/>
    <w:rsid w:val="006B6402"/>
    <w:rsid w:val="00735B0B"/>
    <w:rsid w:val="00737B88"/>
    <w:rsid w:val="007C783B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A32A5F"/>
    <w:rsid w:val="00A3465A"/>
    <w:rsid w:val="00A555B8"/>
    <w:rsid w:val="00AC4A19"/>
    <w:rsid w:val="00AE612A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7694E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44ED"/>
    <w:rsid w:val="00F30263"/>
    <w:rsid w:val="00F34F16"/>
    <w:rsid w:val="00F530E4"/>
    <w:rsid w:val="00FA1D8A"/>
    <w:rsid w:val="00FA4B86"/>
    <w:rsid w:val="00FB49A6"/>
    <w:rsid w:val="00FB6DFF"/>
    <w:rsid w:val="00FD0416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42F7-5232-44CB-88FB-914B0C2C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2024-06-07T10:39:00Z</cp:lastPrinted>
  <dcterms:created xsi:type="dcterms:W3CDTF">2024-06-06T12:13:00Z</dcterms:created>
  <dcterms:modified xsi:type="dcterms:W3CDTF">2024-06-18T14:57:00Z</dcterms:modified>
</cp:coreProperties>
</file>